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58F1E" w14:textId="69DFC86D" w:rsidR="0036620F" w:rsidRDefault="0036620F" w:rsidP="0036620F">
      <w:pPr>
        <w:shd w:val="clear" w:color="auto" w:fill="FFFFFF"/>
        <w:spacing w:after="150" w:line="276" w:lineRule="auto"/>
        <w:jc w:val="center"/>
        <w:outlineLvl w:val="1"/>
        <w:rPr>
          <w:rFonts w:ascii="Arial" w:eastAsia="Times New Roman" w:hAnsi="Arial" w:cs="Arial"/>
          <w:b/>
          <w:bCs/>
          <w:color w:val="165395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165395"/>
          <w:sz w:val="33"/>
          <w:szCs w:val="33"/>
        </w:rPr>
        <w:t>Text for Website</w:t>
      </w:r>
    </w:p>
    <w:p w14:paraId="0B6ECB92" w14:textId="202422BE" w:rsidR="0082431A" w:rsidRPr="0082431A" w:rsidRDefault="0082431A" w:rsidP="00E84DEA">
      <w:pPr>
        <w:shd w:val="clear" w:color="auto" w:fill="FFFFFF"/>
        <w:spacing w:after="150" w:line="276" w:lineRule="auto"/>
        <w:outlineLvl w:val="1"/>
        <w:rPr>
          <w:rFonts w:ascii="Arial" w:eastAsia="Times New Roman" w:hAnsi="Arial" w:cs="Arial"/>
          <w:b/>
          <w:bCs/>
          <w:color w:val="165395"/>
          <w:sz w:val="33"/>
          <w:szCs w:val="33"/>
        </w:rPr>
      </w:pPr>
      <w:proofErr w:type="spellStart"/>
      <w:r>
        <w:rPr>
          <w:rFonts w:ascii="Arial" w:eastAsia="Times New Roman" w:hAnsi="Arial" w:cs="Arial"/>
          <w:b/>
          <w:bCs/>
          <w:color w:val="165395"/>
          <w:sz w:val="33"/>
          <w:szCs w:val="33"/>
        </w:rPr>
        <w:t>RaniGum</w:t>
      </w:r>
      <w:proofErr w:type="spellEnd"/>
      <w:r w:rsidRPr="0082431A">
        <w:rPr>
          <w:rFonts w:ascii="Arial" w:eastAsia="Times New Roman" w:hAnsi="Arial" w:cs="Arial"/>
          <w:b/>
          <w:bCs/>
          <w:color w:val="165395"/>
          <w:sz w:val="33"/>
          <w:szCs w:val="33"/>
        </w:rPr>
        <w:t xml:space="preserve"> vet</w:t>
      </w:r>
    </w:p>
    <w:p w14:paraId="796669A2" w14:textId="5BDC5507" w:rsidR="005D5053" w:rsidRDefault="00C116B2" w:rsidP="0036620F">
      <w:pPr>
        <w:spacing w:line="276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25525B">
        <w:rPr>
          <w:rFonts w:ascii="Arial" w:hAnsi="Arial" w:cs="Arial"/>
          <w:color w:val="333333"/>
          <w:sz w:val="23"/>
          <w:szCs w:val="23"/>
          <w:shd w:val="clear" w:color="auto" w:fill="FFFFFF"/>
        </w:rPr>
        <w:t>Inactivated Newcastle Disease</w:t>
      </w:r>
      <w:r w:rsidR="005F5257" w:rsidRPr="0025525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Virus</w:t>
      </w:r>
      <w:r w:rsidRPr="0025525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 w:rsidRPr="0025525B">
        <w:rPr>
          <w:rFonts w:ascii="Arial" w:hAnsi="Arial" w:cs="Arial"/>
          <w:color w:val="333333"/>
          <w:sz w:val="23"/>
          <w:szCs w:val="23"/>
          <w:shd w:val="clear" w:color="auto" w:fill="FFFFFF"/>
        </w:rPr>
        <w:t>LaSota</w:t>
      </w:r>
      <w:proofErr w:type="spellEnd"/>
      <w:r w:rsidRPr="0025525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Strain) and Infectious Bursal Disease</w:t>
      </w:r>
      <w:r w:rsidR="005F5257" w:rsidRPr="0025525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Virus</w:t>
      </w:r>
      <w:r w:rsidRPr="0025525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(Intermediate Strain)</w:t>
      </w:r>
    </w:p>
    <w:p w14:paraId="2EB6CC7A" w14:textId="77777777" w:rsidR="0036620F" w:rsidRPr="0036620F" w:rsidRDefault="0036620F" w:rsidP="0036620F">
      <w:pPr>
        <w:spacing w:after="0" w:line="276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30AD3BAE" w14:textId="123E4193" w:rsidR="003C24BF" w:rsidRDefault="003C24BF" w:rsidP="00E84DEA">
      <w:pPr>
        <w:pStyle w:val="Heading4"/>
        <w:spacing w:before="150" w:line="276" w:lineRule="auto"/>
        <w:rPr>
          <w:rFonts w:ascii="Arial" w:hAnsi="Arial" w:cs="Arial"/>
          <w:color w:val="185394"/>
          <w:sz w:val="30"/>
          <w:szCs w:val="30"/>
        </w:rPr>
      </w:pPr>
      <w:r>
        <w:rPr>
          <w:rFonts w:ascii="Arial" w:hAnsi="Arial" w:cs="Arial"/>
          <w:b/>
          <w:bCs/>
          <w:color w:val="185394"/>
          <w:sz w:val="30"/>
          <w:szCs w:val="30"/>
        </w:rPr>
        <w:t>Presentation:</w:t>
      </w:r>
    </w:p>
    <w:p w14:paraId="3992D71F" w14:textId="61AEF77A" w:rsidR="005F5257" w:rsidRPr="00E84DEA" w:rsidRDefault="003C24BF" w:rsidP="00E84DEA">
      <w:pPr>
        <w:spacing w:after="0" w:line="276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3C24BF">
        <w:rPr>
          <w:rFonts w:ascii="Arial" w:hAnsi="Arial" w:cs="Arial"/>
          <w:color w:val="333333"/>
          <w:sz w:val="23"/>
          <w:szCs w:val="23"/>
          <w:shd w:val="clear" w:color="auto" w:fill="FFFFFF"/>
        </w:rPr>
        <w:t>Inactivated Newcastle Disease</w:t>
      </w:r>
      <w:r w:rsidR="005F5257"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Virus</w:t>
      </w:r>
      <w:r w:rsidRPr="003C24B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 w:rsidRPr="003C24BF">
        <w:rPr>
          <w:rFonts w:ascii="Arial" w:hAnsi="Arial" w:cs="Arial"/>
          <w:color w:val="333333"/>
          <w:sz w:val="23"/>
          <w:szCs w:val="23"/>
          <w:shd w:val="clear" w:color="auto" w:fill="FFFFFF"/>
        </w:rPr>
        <w:t>LaSota</w:t>
      </w:r>
      <w:proofErr w:type="spellEnd"/>
      <w:r w:rsidRPr="003C24B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Strain) and Infectious Bursal Disease</w:t>
      </w:r>
      <w:r w:rsidR="005F5257"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Virus</w:t>
      </w:r>
      <w:r w:rsidRPr="003C24B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(Intermediate Strain)</w:t>
      </w:r>
    </w:p>
    <w:p w14:paraId="2FEF8EDF" w14:textId="77777777" w:rsidR="005F5257" w:rsidRPr="004F327B" w:rsidRDefault="005F5257" w:rsidP="00E84DEA">
      <w:pPr>
        <w:pStyle w:val="Heading4"/>
        <w:spacing w:before="150" w:line="276" w:lineRule="auto"/>
        <w:rPr>
          <w:rFonts w:ascii="Arial" w:hAnsi="Arial" w:cs="Arial"/>
          <w:b/>
          <w:bCs/>
          <w:color w:val="185394"/>
          <w:sz w:val="30"/>
          <w:szCs w:val="30"/>
        </w:rPr>
      </w:pPr>
      <w:r>
        <w:rPr>
          <w:rFonts w:ascii="Arial" w:hAnsi="Arial" w:cs="Arial"/>
          <w:b/>
          <w:bCs/>
          <w:color w:val="185394"/>
          <w:sz w:val="30"/>
          <w:szCs w:val="30"/>
        </w:rPr>
        <w:t>Description:</w:t>
      </w:r>
    </w:p>
    <w:p w14:paraId="10261F4B" w14:textId="7A386CB3" w:rsidR="005F5257" w:rsidRPr="00E84DEA" w:rsidRDefault="005F5257" w:rsidP="00E84DEA">
      <w:pPr>
        <w:spacing w:after="0" w:line="276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proofErr w:type="spellStart"/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>RaniGum</w:t>
      </w:r>
      <w:proofErr w:type="spellEnd"/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vet vaccine is an inactivated vaccine containing </w:t>
      </w:r>
      <w:r w:rsidR="004F327B" w:rsidRPr="003C24BF">
        <w:rPr>
          <w:rFonts w:ascii="Arial" w:hAnsi="Arial" w:cs="Arial"/>
          <w:color w:val="333333"/>
          <w:sz w:val="23"/>
          <w:szCs w:val="23"/>
          <w:shd w:val="clear" w:color="auto" w:fill="FFFFFF"/>
        </w:rPr>
        <w:t>Newcastle Disease</w:t>
      </w:r>
      <w:r w:rsidR="004F327B"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Virus</w:t>
      </w:r>
      <w:r w:rsidR="004F327B" w:rsidRPr="003C24B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 w:rsidR="004F327B" w:rsidRPr="003C24BF">
        <w:rPr>
          <w:rFonts w:ascii="Arial" w:hAnsi="Arial" w:cs="Arial"/>
          <w:color w:val="333333"/>
          <w:sz w:val="23"/>
          <w:szCs w:val="23"/>
          <w:shd w:val="clear" w:color="auto" w:fill="FFFFFF"/>
        </w:rPr>
        <w:t>LaSota</w:t>
      </w:r>
      <w:proofErr w:type="spellEnd"/>
      <w:r w:rsidR="004F327B" w:rsidRPr="003C24B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Strain) and Infectious Bursal Disease</w:t>
      </w:r>
      <w:r w:rsidR="004F327B"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Virus</w:t>
      </w:r>
      <w:r w:rsidR="004F327B" w:rsidRPr="003C24B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(Intermediate Strain)</w:t>
      </w:r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 w:rsidR="004F327B"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The vaccine is recommended </w:t>
      </w:r>
      <w:r w:rsidR="004F327B"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for </w:t>
      </w:r>
      <w:proofErr w:type="spellStart"/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>sonali</w:t>
      </w:r>
      <w:proofErr w:type="spellEnd"/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>, layer and breed</w:t>
      </w:r>
      <w:r w:rsidR="00361337"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>er</w:t>
      </w:r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for protection against </w:t>
      </w:r>
      <w:r w:rsidR="004F327B" w:rsidRPr="003C24BF">
        <w:rPr>
          <w:rFonts w:ascii="Arial" w:hAnsi="Arial" w:cs="Arial"/>
          <w:color w:val="333333"/>
          <w:sz w:val="23"/>
          <w:szCs w:val="23"/>
          <w:shd w:val="clear" w:color="auto" w:fill="FFFFFF"/>
        </w:rPr>
        <w:t>Newcastle Disease</w:t>
      </w:r>
      <w:r w:rsidR="004F327B"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and </w:t>
      </w:r>
      <w:r w:rsidR="004F327B" w:rsidRPr="003C24BF">
        <w:rPr>
          <w:rFonts w:ascii="Arial" w:hAnsi="Arial" w:cs="Arial"/>
          <w:color w:val="333333"/>
          <w:sz w:val="23"/>
          <w:szCs w:val="23"/>
          <w:shd w:val="clear" w:color="auto" w:fill="FFFFFF"/>
        </w:rPr>
        <w:t>Infectious Bursal Disease</w:t>
      </w:r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14:paraId="7E6CA9AA" w14:textId="77777777" w:rsidR="004F327B" w:rsidRDefault="004F327B" w:rsidP="00E84DEA">
      <w:pPr>
        <w:pStyle w:val="Heading4"/>
        <w:spacing w:before="150" w:line="276" w:lineRule="auto"/>
        <w:rPr>
          <w:rFonts w:ascii="Arial" w:hAnsi="Arial" w:cs="Arial"/>
          <w:color w:val="185394"/>
          <w:sz w:val="30"/>
          <w:szCs w:val="30"/>
        </w:rPr>
      </w:pPr>
      <w:r>
        <w:rPr>
          <w:rFonts w:ascii="Arial" w:hAnsi="Arial" w:cs="Arial"/>
          <w:b/>
          <w:bCs/>
          <w:color w:val="185394"/>
          <w:sz w:val="30"/>
          <w:szCs w:val="30"/>
        </w:rPr>
        <w:t>Indications:</w:t>
      </w:r>
    </w:p>
    <w:p w14:paraId="78EC44C0" w14:textId="3D5FB19A" w:rsidR="004F327B" w:rsidRPr="00E84DEA" w:rsidRDefault="004F327B" w:rsidP="00E84DEA">
      <w:pPr>
        <w:spacing w:after="0" w:line="276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For the active immunization of healthy chickens and other poultry birds against Newcastle Disease and </w:t>
      </w:r>
      <w:r w:rsidRPr="003C24BF">
        <w:rPr>
          <w:rFonts w:ascii="Arial" w:hAnsi="Arial" w:cs="Arial"/>
          <w:color w:val="333333"/>
          <w:sz w:val="23"/>
          <w:szCs w:val="23"/>
          <w:shd w:val="clear" w:color="auto" w:fill="FFFFFF"/>
        </w:rPr>
        <w:t>Infectious Bursal Disease</w:t>
      </w:r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14:paraId="16C56C2B" w14:textId="0243D9A0" w:rsidR="00361337" w:rsidRPr="00E84DEA" w:rsidRDefault="00361337" w:rsidP="00E84DEA">
      <w:pPr>
        <w:pStyle w:val="Heading4"/>
        <w:spacing w:before="150" w:line="276" w:lineRule="auto"/>
        <w:rPr>
          <w:rFonts w:ascii="Arial" w:hAnsi="Arial" w:cs="Arial"/>
          <w:b/>
          <w:bCs/>
          <w:color w:val="185394"/>
          <w:sz w:val="30"/>
          <w:szCs w:val="30"/>
        </w:rPr>
      </w:pPr>
      <w:r>
        <w:rPr>
          <w:rFonts w:ascii="Arial" w:hAnsi="Arial" w:cs="Arial"/>
          <w:b/>
          <w:bCs/>
          <w:color w:val="185394"/>
          <w:sz w:val="30"/>
          <w:szCs w:val="30"/>
        </w:rPr>
        <w:t>Dosage and Administration:</w:t>
      </w:r>
    </w:p>
    <w:tbl>
      <w:tblPr>
        <w:tblStyle w:val="TableGrid"/>
        <w:tblW w:w="9967" w:type="dxa"/>
        <w:tblLayout w:type="fixed"/>
        <w:tblLook w:val="04A0" w:firstRow="1" w:lastRow="0" w:firstColumn="1" w:lastColumn="0" w:noHBand="0" w:noVBand="1"/>
      </w:tblPr>
      <w:tblGrid>
        <w:gridCol w:w="1525"/>
        <w:gridCol w:w="2880"/>
        <w:gridCol w:w="1440"/>
        <w:gridCol w:w="4122"/>
      </w:tblGrid>
      <w:tr w:rsidR="00361337" w14:paraId="27D93CF4" w14:textId="77777777" w:rsidTr="00840A98">
        <w:trPr>
          <w:trHeight w:val="460"/>
        </w:trPr>
        <w:tc>
          <w:tcPr>
            <w:tcW w:w="1525" w:type="dxa"/>
            <w:vAlign w:val="center"/>
          </w:tcPr>
          <w:p w14:paraId="18381740" w14:textId="77777777" w:rsidR="00361337" w:rsidRPr="00C639B4" w:rsidRDefault="00361337" w:rsidP="00E84D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C639B4">
              <w:rPr>
                <w:rFonts w:ascii="Arial" w:hAnsi="Arial" w:cs="Arial"/>
                <w:b/>
                <w:bCs/>
                <w:sz w:val="23"/>
                <w:szCs w:val="23"/>
              </w:rPr>
              <w:t>Species</w:t>
            </w:r>
          </w:p>
        </w:tc>
        <w:tc>
          <w:tcPr>
            <w:tcW w:w="2880" w:type="dxa"/>
            <w:vAlign w:val="center"/>
          </w:tcPr>
          <w:p w14:paraId="3AE0B935" w14:textId="77777777" w:rsidR="00361337" w:rsidRPr="00C639B4" w:rsidRDefault="00361337" w:rsidP="00E84D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C639B4">
              <w:rPr>
                <w:rFonts w:ascii="Arial" w:hAnsi="Arial" w:cs="Arial"/>
                <w:b/>
                <w:bCs/>
                <w:sz w:val="23"/>
                <w:szCs w:val="23"/>
              </w:rPr>
              <w:t>Recommended Schedule</w:t>
            </w:r>
          </w:p>
        </w:tc>
        <w:tc>
          <w:tcPr>
            <w:tcW w:w="1440" w:type="dxa"/>
            <w:vAlign w:val="center"/>
          </w:tcPr>
          <w:p w14:paraId="5A2E009E" w14:textId="77777777" w:rsidR="00361337" w:rsidRPr="00C639B4" w:rsidRDefault="00361337" w:rsidP="00E84D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C639B4">
              <w:rPr>
                <w:rFonts w:ascii="Arial" w:hAnsi="Arial" w:cs="Arial"/>
                <w:b/>
                <w:bCs/>
                <w:sz w:val="23"/>
                <w:szCs w:val="23"/>
              </w:rPr>
              <w:t>Dosage</w:t>
            </w:r>
          </w:p>
        </w:tc>
        <w:tc>
          <w:tcPr>
            <w:tcW w:w="4122" w:type="dxa"/>
            <w:vAlign w:val="center"/>
          </w:tcPr>
          <w:p w14:paraId="31DA897D" w14:textId="77777777" w:rsidR="00361337" w:rsidRPr="00C639B4" w:rsidRDefault="00361337" w:rsidP="00E84D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C639B4">
              <w:rPr>
                <w:rFonts w:ascii="Arial" w:hAnsi="Arial" w:cs="Arial"/>
                <w:b/>
                <w:bCs/>
                <w:sz w:val="23"/>
                <w:szCs w:val="23"/>
              </w:rPr>
              <w:t>Administration</w:t>
            </w:r>
          </w:p>
        </w:tc>
      </w:tr>
      <w:tr w:rsidR="003B2173" w14:paraId="4E1DE273" w14:textId="77777777" w:rsidTr="00840A98">
        <w:trPr>
          <w:trHeight w:val="460"/>
        </w:trPr>
        <w:tc>
          <w:tcPr>
            <w:tcW w:w="1525" w:type="dxa"/>
            <w:vAlign w:val="center"/>
          </w:tcPr>
          <w:p w14:paraId="298A2A81" w14:textId="224B6867" w:rsidR="003B2173" w:rsidRPr="00361337" w:rsidRDefault="003B2173" w:rsidP="00E84DE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</w:t>
            </w:r>
            <w:r w:rsidRPr="004F327B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onali</w:t>
            </w:r>
            <w:proofErr w:type="spellEnd"/>
            <w:r w:rsidRPr="004F327B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, layer and breed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er</w:t>
            </w:r>
          </w:p>
        </w:tc>
        <w:tc>
          <w:tcPr>
            <w:tcW w:w="2880" w:type="dxa"/>
            <w:vAlign w:val="center"/>
          </w:tcPr>
          <w:p w14:paraId="348D4E76" w14:textId="4A19BFE7" w:rsidR="003B2173" w:rsidRPr="00361337" w:rsidRDefault="003B2173" w:rsidP="00E84DE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1-7 days (</w:t>
            </w:r>
            <w:r w:rsidRPr="004D6DE2">
              <w:rPr>
                <w:rFonts w:ascii="Arial" w:hAnsi="Arial" w:cs="Arial"/>
                <w:sz w:val="23"/>
                <w:szCs w:val="23"/>
              </w:rPr>
              <w:t>If the parent birds have not been vaccinated</w:t>
            </w:r>
            <w:r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1440" w:type="dxa"/>
            <w:vAlign w:val="center"/>
          </w:tcPr>
          <w:p w14:paraId="2C07D62A" w14:textId="3AE4F85D" w:rsidR="003B2173" w:rsidRPr="00361337" w:rsidRDefault="003B2173" w:rsidP="00840A9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0.25</w:t>
            </w:r>
            <w:r w:rsidR="00840A98">
              <w:rPr>
                <w:rFonts w:ascii="Arial" w:hAnsi="Arial" w:cs="Arial"/>
                <w:sz w:val="23"/>
                <w:szCs w:val="23"/>
              </w:rPr>
              <w:t>-050</w:t>
            </w:r>
            <w:r>
              <w:rPr>
                <w:rFonts w:ascii="Arial" w:hAnsi="Arial" w:cs="Arial"/>
                <w:sz w:val="23"/>
                <w:szCs w:val="23"/>
              </w:rPr>
              <w:t xml:space="preserve"> ml</w:t>
            </w:r>
          </w:p>
        </w:tc>
        <w:tc>
          <w:tcPr>
            <w:tcW w:w="4122" w:type="dxa"/>
            <w:vMerge w:val="restart"/>
            <w:vAlign w:val="center"/>
          </w:tcPr>
          <w:p w14:paraId="43AFE62B" w14:textId="5E14B661" w:rsidR="003B2173" w:rsidRPr="00361337" w:rsidRDefault="003B2173" w:rsidP="00E84DE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Inject per bird intramuscularly in the thigh or breast muscle or subcutaneously in the lower part of the neck. </w:t>
            </w:r>
            <w:r w:rsidR="00E84DEA" w:rsidRPr="00E84DE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One week prior to this vaccination, ND live vaccine should be </w:t>
            </w:r>
            <w:r w:rsidR="00E84DE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administered</w:t>
            </w:r>
            <w:r w:rsidR="00E84DEA" w:rsidRPr="00E84DE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for </w:t>
            </w:r>
            <w:r w:rsidR="00E84DE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better </w:t>
            </w:r>
            <w:r w:rsidR="00E84DEA" w:rsidRPr="00E84DE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protection against ND</w:t>
            </w:r>
            <w:r w:rsidR="00E84DE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Or as directed by registered veterinarian.</w:t>
            </w:r>
          </w:p>
        </w:tc>
      </w:tr>
      <w:tr w:rsidR="003B2173" w14:paraId="3FA375CD" w14:textId="77777777" w:rsidTr="00840A98">
        <w:trPr>
          <w:trHeight w:val="460"/>
        </w:trPr>
        <w:tc>
          <w:tcPr>
            <w:tcW w:w="1525" w:type="dxa"/>
            <w:vAlign w:val="center"/>
          </w:tcPr>
          <w:p w14:paraId="09AC349C" w14:textId="3B5859CE" w:rsidR="003B2173" w:rsidRDefault="003B2173" w:rsidP="00E84DEA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Breeder</w:t>
            </w:r>
          </w:p>
        </w:tc>
        <w:tc>
          <w:tcPr>
            <w:tcW w:w="2880" w:type="dxa"/>
            <w:vAlign w:val="center"/>
          </w:tcPr>
          <w:p w14:paraId="2E6B0483" w14:textId="3046A3BE" w:rsidR="003B2173" w:rsidRDefault="003B2173" w:rsidP="00E84DE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B2173">
              <w:rPr>
                <w:rFonts w:ascii="Arial" w:hAnsi="Arial" w:cs="Arial"/>
                <w:sz w:val="23"/>
                <w:szCs w:val="23"/>
              </w:rPr>
              <w:t>16-17 weeks (3-4 weeks before onset of laying)</w:t>
            </w:r>
          </w:p>
        </w:tc>
        <w:tc>
          <w:tcPr>
            <w:tcW w:w="1440" w:type="dxa"/>
            <w:vAlign w:val="center"/>
          </w:tcPr>
          <w:p w14:paraId="5A98E623" w14:textId="61FD0CA7" w:rsidR="003B2173" w:rsidRDefault="003B2173" w:rsidP="00840A9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0.</w:t>
            </w:r>
            <w:r w:rsidR="008E5DBD">
              <w:rPr>
                <w:rFonts w:ascii="Arial" w:hAnsi="Arial" w:cs="Arial"/>
                <w:sz w:val="23"/>
                <w:szCs w:val="23"/>
              </w:rPr>
              <w:t>50</w:t>
            </w:r>
            <w:r>
              <w:rPr>
                <w:rFonts w:ascii="Arial" w:hAnsi="Arial" w:cs="Arial"/>
                <w:sz w:val="23"/>
                <w:szCs w:val="23"/>
              </w:rPr>
              <w:t xml:space="preserve"> ml</w:t>
            </w:r>
          </w:p>
        </w:tc>
        <w:tc>
          <w:tcPr>
            <w:tcW w:w="4122" w:type="dxa"/>
            <w:vMerge/>
            <w:vAlign w:val="center"/>
          </w:tcPr>
          <w:p w14:paraId="36C1B0AC" w14:textId="77777777" w:rsidR="003B2173" w:rsidRDefault="003B2173" w:rsidP="00E84DEA">
            <w:pPr>
              <w:spacing w:line="276" w:lineRule="auto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</w:tr>
    </w:tbl>
    <w:p w14:paraId="78CF6A87" w14:textId="77777777" w:rsidR="00E84DEA" w:rsidRDefault="00E84DEA" w:rsidP="00E84DEA">
      <w:pPr>
        <w:pStyle w:val="Heading4"/>
        <w:spacing w:before="150" w:line="276" w:lineRule="auto"/>
        <w:rPr>
          <w:rFonts w:ascii="Arial" w:hAnsi="Arial" w:cs="Arial"/>
          <w:color w:val="185394"/>
          <w:sz w:val="30"/>
          <w:szCs w:val="30"/>
        </w:rPr>
      </w:pPr>
      <w:r>
        <w:rPr>
          <w:rFonts w:ascii="Arial" w:hAnsi="Arial" w:cs="Arial"/>
          <w:b/>
          <w:bCs/>
          <w:color w:val="185394"/>
          <w:sz w:val="30"/>
          <w:szCs w:val="30"/>
        </w:rPr>
        <w:t>Side Effects:</w:t>
      </w:r>
    </w:p>
    <w:p w14:paraId="4836AA10" w14:textId="77777777" w:rsidR="00E84DEA" w:rsidRPr="00E84DEA" w:rsidRDefault="00E84DEA" w:rsidP="00E84DEA">
      <w:pPr>
        <w:spacing w:after="0" w:line="276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>The vaccine is generally well tolerated at recommended dose.</w:t>
      </w:r>
    </w:p>
    <w:p w14:paraId="4B394FFE" w14:textId="77777777" w:rsidR="00E84DEA" w:rsidRDefault="00E84DEA" w:rsidP="00E84DEA">
      <w:pPr>
        <w:pStyle w:val="Heading4"/>
        <w:spacing w:before="150" w:line="276" w:lineRule="auto"/>
        <w:rPr>
          <w:rFonts w:ascii="Arial" w:hAnsi="Arial" w:cs="Arial"/>
          <w:color w:val="185394"/>
          <w:sz w:val="30"/>
          <w:szCs w:val="30"/>
        </w:rPr>
      </w:pPr>
      <w:r>
        <w:rPr>
          <w:rFonts w:ascii="Arial" w:hAnsi="Arial" w:cs="Arial"/>
          <w:b/>
          <w:bCs/>
          <w:color w:val="185394"/>
          <w:sz w:val="30"/>
          <w:szCs w:val="30"/>
        </w:rPr>
        <w:t>Precautions:</w:t>
      </w:r>
      <w:bookmarkStart w:id="0" w:name="_GoBack"/>
      <w:bookmarkEnd w:id="0"/>
    </w:p>
    <w:p w14:paraId="4C70D775" w14:textId="124006D1" w:rsidR="00E84DEA" w:rsidRDefault="00E84DEA" w:rsidP="00E84DE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>Vaccinate healthy chickens only</w:t>
      </w:r>
    </w:p>
    <w:p w14:paraId="47152BD9" w14:textId="77777777" w:rsidR="00E84DEA" w:rsidRDefault="00E84DEA" w:rsidP="00E84DE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>Use sterile Injection during vaccination</w:t>
      </w:r>
    </w:p>
    <w:p w14:paraId="19C93F24" w14:textId="77777777" w:rsidR="00E84DEA" w:rsidRDefault="00E84DEA" w:rsidP="00E84DE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>Do not mix with other vaccines</w:t>
      </w:r>
    </w:p>
    <w:p w14:paraId="0763F116" w14:textId="20D1C00D" w:rsidR="00E84DEA" w:rsidRDefault="00E84DEA" w:rsidP="00E84DE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Opened bottles should be used within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a few</w:t>
      </w:r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hours</w:t>
      </w:r>
    </w:p>
    <w:p w14:paraId="5C77D168" w14:textId="77777777" w:rsidR="00E84DEA" w:rsidRDefault="00E84DEA" w:rsidP="00E84DE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>Do not store partially used containers for future use</w:t>
      </w:r>
    </w:p>
    <w:p w14:paraId="3DE2DF6D" w14:textId="585BD58F" w:rsidR="00E84DEA" w:rsidRDefault="00E84DEA" w:rsidP="00E84DE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 xml:space="preserve">In case of </w:t>
      </w:r>
      <w:r w:rsidR="00EE07A9">
        <w:rPr>
          <w:rFonts w:ascii="Arial" w:hAnsi="Arial" w:cs="Arial"/>
          <w:color w:val="333333"/>
          <w:sz w:val="23"/>
          <w:szCs w:val="23"/>
          <w:shd w:val="clear" w:color="auto" w:fill="FFFFFF"/>
        </w:rPr>
        <w:t>a</w:t>
      </w:r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>ccidental self-vaccination consult with doctors</w:t>
      </w:r>
    </w:p>
    <w:p w14:paraId="70BEB16A" w14:textId="6F0F6D59" w:rsidR="00E84DEA" w:rsidRPr="00E84DEA" w:rsidRDefault="00E84DEA" w:rsidP="00E84DE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E84DEA">
        <w:rPr>
          <w:rFonts w:ascii="Arial" w:hAnsi="Arial" w:cs="Arial"/>
          <w:color w:val="333333"/>
          <w:sz w:val="23"/>
          <w:szCs w:val="23"/>
          <w:shd w:val="clear" w:color="auto" w:fill="FFFFFF"/>
        </w:rPr>
        <w:t>Dispose unused vaccine after vaccination.</w:t>
      </w:r>
    </w:p>
    <w:p w14:paraId="5EA93028" w14:textId="77777777" w:rsidR="00E84DEA" w:rsidRDefault="00E84DEA" w:rsidP="00E84DEA">
      <w:pPr>
        <w:pStyle w:val="Heading4"/>
        <w:spacing w:before="150" w:line="276" w:lineRule="auto"/>
        <w:rPr>
          <w:rFonts w:ascii="Arial" w:hAnsi="Arial" w:cs="Arial"/>
          <w:color w:val="185394"/>
          <w:sz w:val="30"/>
          <w:szCs w:val="30"/>
        </w:rPr>
      </w:pPr>
      <w:r>
        <w:rPr>
          <w:rFonts w:ascii="Arial" w:hAnsi="Arial" w:cs="Arial"/>
          <w:b/>
          <w:bCs/>
          <w:color w:val="185394"/>
          <w:sz w:val="30"/>
          <w:szCs w:val="30"/>
        </w:rPr>
        <w:t>Contraindications:</w:t>
      </w:r>
    </w:p>
    <w:p w14:paraId="1BA96A17" w14:textId="77777777" w:rsidR="00E84DEA" w:rsidRPr="00512A6D" w:rsidRDefault="00E84DEA" w:rsidP="00512A6D">
      <w:pPr>
        <w:spacing w:after="0" w:line="276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512A6D">
        <w:rPr>
          <w:rFonts w:ascii="Arial" w:hAnsi="Arial" w:cs="Arial"/>
          <w:color w:val="333333"/>
          <w:sz w:val="23"/>
          <w:szCs w:val="23"/>
          <w:shd w:val="clear" w:color="auto" w:fill="FFFFFF"/>
        </w:rPr>
        <w:t>This vaccine is not recommended for the chicks that are clinically sick or under conditions of severe stress. Sick or weak chickens will not develop adequate immunity following vaccination.</w:t>
      </w:r>
    </w:p>
    <w:p w14:paraId="4D57BBFD" w14:textId="77777777" w:rsidR="00E84DEA" w:rsidRDefault="00E84DEA" w:rsidP="00E84DEA">
      <w:pPr>
        <w:pStyle w:val="Heading4"/>
        <w:spacing w:before="150" w:line="276" w:lineRule="auto"/>
        <w:rPr>
          <w:rFonts w:ascii="Arial" w:hAnsi="Arial" w:cs="Arial"/>
          <w:color w:val="185394"/>
          <w:sz w:val="30"/>
          <w:szCs w:val="30"/>
        </w:rPr>
      </w:pPr>
      <w:r>
        <w:rPr>
          <w:rFonts w:ascii="Arial" w:hAnsi="Arial" w:cs="Arial"/>
          <w:b/>
          <w:bCs/>
          <w:color w:val="185394"/>
          <w:sz w:val="30"/>
          <w:szCs w:val="30"/>
        </w:rPr>
        <w:t>Withdrawal Period:</w:t>
      </w:r>
    </w:p>
    <w:p w14:paraId="39D3A543" w14:textId="77777777" w:rsidR="00E84DEA" w:rsidRPr="000D7315" w:rsidRDefault="00E84DEA" w:rsidP="000D7315">
      <w:pPr>
        <w:spacing w:after="0" w:line="276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0D7315">
        <w:rPr>
          <w:rFonts w:ascii="Arial" w:hAnsi="Arial" w:cs="Arial"/>
          <w:color w:val="333333"/>
          <w:sz w:val="23"/>
          <w:szCs w:val="23"/>
          <w:shd w:val="clear" w:color="auto" w:fill="FFFFFF"/>
        </w:rPr>
        <w:t>Not required</w:t>
      </w:r>
    </w:p>
    <w:p w14:paraId="0777D8B4" w14:textId="77777777" w:rsidR="00E84DEA" w:rsidRDefault="00E84DEA" w:rsidP="00E84DEA">
      <w:pPr>
        <w:pStyle w:val="Heading4"/>
        <w:spacing w:before="150" w:line="276" w:lineRule="auto"/>
        <w:rPr>
          <w:rFonts w:ascii="Arial" w:hAnsi="Arial" w:cs="Arial"/>
          <w:color w:val="185394"/>
          <w:sz w:val="30"/>
          <w:szCs w:val="30"/>
        </w:rPr>
      </w:pPr>
      <w:r>
        <w:rPr>
          <w:rFonts w:ascii="Arial" w:hAnsi="Arial" w:cs="Arial"/>
          <w:b/>
          <w:bCs/>
          <w:color w:val="185394"/>
          <w:sz w:val="30"/>
          <w:szCs w:val="30"/>
        </w:rPr>
        <w:t>Storage:</w:t>
      </w:r>
    </w:p>
    <w:p w14:paraId="1BC1314F" w14:textId="77777777" w:rsidR="00E84DEA" w:rsidRPr="000D7315" w:rsidRDefault="00E84DEA" w:rsidP="00392D27">
      <w:pPr>
        <w:spacing w:after="0" w:line="276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0D7315">
        <w:rPr>
          <w:rFonts w:ascii="Arial" w:hAnsi="Arial" w:cs="Arial"/>
          <w:color w:val="333333"/>
          <w:sz w:val="23"/>
          <w:szCs w:val="23"/>
          <w:shd w:val="clear" w:color="auto" w:fill="FFFFFF"/>
        </w:rPr>
        <w:t>Protect from light, store at +2 to +8 degree Centigrade and do not freeze. Keep out of the reach of children.</w:t>
      </w:r>
    </w:p>
    <w:p w14:paraId="11FD0F08" w14:textId="48A3F135" w:rsidR="00E84DEA" w:rsidRPr="00840A98" w:rsidRDefault="00E84DEA" w:rsidP="00840A98">
      <w:pPr>
        <w:pStyle w:val="Heading4"/>
        <w:spacing w:before="150" w:line="276" w:lineRule="auto"/>
        <w:rPr>
          <w:rFonts w:ascii="Arial" w:hAnsi="Arial" w:cs="Arial"/>
          <w:color w:val="185394"/>
          <w:sz w:val="30"/>
          <w:szCs w:val="30"/>
        </w:rPr>
      </w:pPr>
      <w:r>
        <w:rPr>
          <w:rFonts w:ascii="Arial" w:hAnsi="Arial" w:cs="Arial"/>
          <w:b/>
          <w:bCs/>
          <w:color w:val="185394"/>
          <w:sz w:val="30"/>
          <w:szCs w:val="30"/>
        </w:rPr>
        <w:t>Commercial Pack:</w:t>
      </w:r>
      <w:r w:rsidRPr="00392D27"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proofErr w:type="spellStart"/>
      <w:r w:rsidR="00392D27" w:rsidRPr="0010378F">
        <w:rPr>
          <w:rFonts w:ascii="Arial" w:hAnsi="Arial" w:cs="Arial"/>
          <w:i w:val="0"/>
          <w:iCs w:val="0"/>
          <w:color w:val="333333"/>
          <w:sz w:val="23"/>
          <w:szCs w:val="23"/>
          <w:shd w:val="clear" w:color="auto" w:fill="FFFFFF"/>
        </w:rPr>
        <w:t>RaniGum</w:t>
      </w:r>
      <w:proofErr w:type="spellEnd"/>
      <w:r w:rsidR="00392D27" w:rsidRPr="0010378F">
        <w:rPr>
          <w:rFonts w:ascii="Arial" w:hAnsi="Arial" w:cs="Arial"/>
          <w:i w:val="0"/>
          <w:iCs w:val="0"/>
          <w:color w:val="333333"/>
          <w:sz w:val="23"/>
          <w:szCs w:val="23"/>
          <w:shd w:val="clear" w:color="auto" w:fill="FFFFFF"/>
        </w:rPr>
        <w:t xml:space="preserve"> </w:t>
      </w:r>
      <w:r w:rsidRPr="0010378F">
        <w:rPr>
          <w:rFonts w:ascii="Arial" w:hAnsi="Arial" w:cs="Arial"/>
          <w:i w:val="0"/>
          <w:iCs w:val="0"/>
          <w:color w:val="333333"/>
          <w:sz w:val="23"/>
          <w:szCs w:val="23"/>
          <w:shd w:val="clear" w:color="auto" w:fill="FFFFFF"/>
        </w:rPr>
        <w:t>Vet vaccine 1000 doses</w:t>
      </w:r>
    </w:p>
    <w:p w14:paraId="5717E537" w14:textId="4AC154CF" w:rsidR="00361337" w:rsidRPr="00361337" w:rsidRDefault="00361337" w:rsidP="00E84DEA">
      <w:pPr>
        <w:spacing w:line="276" w:lineRule="auto"/>
      </w:pPr>
    </w:p>
    <w:p w14:paraId="75DF5D44" w14:textId="1509F244" w:rsidR="00361337" w:rsidRPr="00361337" w:rsidRDefault="00361337" w:rsidP="00E84DEA">
      <w:pPr>
        <w:spacing w:line="276" w:lineRule="auto"/>
      </w:pPr>
    </w:p>
    <w:p w14:paraId="399FD838" w14:textId="4436BB0E" w:rsidR="00361337" w:rsidRPr="00361337" w:rsidRDefault="00361337" w:rsidP="00E84DEA">
      <w:pPr>
        <w:spacing w:line="276" w:lineRule="auto"/>
      </w:pPr>
    </w:p>
    <w:p w14:paraId="02B2D258" w14:textId="213C2DAC" w:rsidR="00361337" w:rsidRPr="00361337" w:rsidRDefault="00361337" w:rsidP="00E84DEA">
      <w:pPr>
        <w:spacing w:line="276" w:lineRule="auto"/>
      </w:pPr>
    </w:p>
    <w:p w14:paraId="5A2897BB" w14:textId="5BA59455" w:rsidR="00361337" w:rsidRPr="00361337" w:rsidRDefault="00361337" w:rsidP="00E84DEA">
      <w:pPr>
        <w:spacing w:line="276" w:lineRule="auto"/>
      </w:pPr>
    </w:p>
    <w:sectPr w:rsidR="00361337" w:rsidRP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C4BAC" w14:textId="77777777" w:rsidR="00F0000B" w:rsidRDefault="00F0000B" w:rsidP="00F0000B">
      <w:pPr>
        <w:spacing w:after="0" w:line="240" w:lineRule="auto"/>
      </w:pPr>
      <w:r>
        <w:separator/>
      </w:r>
    </w:p>
  </w:endnote>
  <w:endnote w:type="continuationSeparator" w:id="0">
    <w:p w14:paraId="0D972744" w14:textId="77777777" w:rsidR="00F0000B" w:rsidRDefault="00F0000B" w:rsidP="00F0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B173C" w14:textId="77777777" w:rsidR="00F0000B" w:rsidRDefault="00F0000B" w:rsidP="00F0000B">
      <w:pPr>
        <w:spacing w:after="0" w:line="240" w:lineRule="auto"/>
      </w:pPr>
      <w:r>
        <w:separator/>
      </w:r>
    </w:p>
  </w:footnote>
  <w:footnote w:type="continuationSeparator" w:id="0">
    <w:p w14:paraId="6CFA25DE" w14:textId="77777777" w:rsidR="00F0000B" w:rsidRDefault="00F0000B" w:rsidP="00F00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7677A"/>
    <w:multiLevelType w:val="hybridMultilevel"/>
    <w:tmpl w:val="1F5C7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6B"/>
    <w:rsid w:val="000D4E77"/>
    <w:rsid w:val="000D7315"/>
    <w:rsid w:val="0010378F"/>
    <w:rsid w:val="0025525B"/>
    <w:rsid w:val="00322908"/>
    <w:rsid w:val="00361337"/>
    <w:rsid w:val="0036620F"/>
    <w:rsid w:val="00392D27"/>
    <w:rsid w:val="003B2173"/>
    <w:rsid w:val="003C24BF"/>
    <w:rsid w:val="004D6DE2"/>
    <w:rsid w:val="004F327B"/>
    <w:rsid w:val="00512A6D"/>
    <w:rsid w:val="005D5053"/>
    <w:rsid w:val="005E3897"/>
    <w:rsid w:val="005F5257"/>
    <w:rsid w:val="0082431A"/>
    <w:rsid w:val="00840A98"/>
    <w:rsid w:val="008E5DBD"/>
    <w:rsid w:val="009744E9"/>
    <w:rsid w:val="00C116B2"/>
    <w:rsid w:val="00C639B4"/>
    <w:rsid w:val="00D8776B"/>
    <w:rsid w:val="00E84DEA"/>
    <w:rsid w:val="00EE07A9"/>
    <w:rsid w:val="00F0000B"/>
    <w:rsid w:val="00F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254BB"/>
  <w15:chartTrackingRefBased/>
  <w15:docId w15:val="{0AF5DC0E-38D7-442E-B733-9A09A6EF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4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6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24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43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116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C24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scpara">
    <w:name w:val="descpara"/>
    <w:basedOn w:val="Normal"/>
    <w:rsid w:val="003C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6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0B"/>
  </w:style>
  <w:style w:type="paragraph" w:styleId="Footer">
    <w:name w:val="footer"/>
    <w:basedOn w:val="Normal"/>
    <w:link w:val="FooterChar"/>
    <w:uiPriority w:val="99"/>
    <w:unhideWhenUsed/>
    <w:rsid w:val="00F0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Moidur Rahman Noman(Emp. Code: 1013778)</dc:creator>
  <cp:keywords/>
  <dc:description/>
  <cp:lastModifiedBy>Dr. Mohammad Moidur Rahman Noman(Emp. Code: 1013778)</cp:lastModifiedBy>
  <cp:revision>21</cp:revision>
  <cp:lastPrinted>2023-04-06T05:37:00Z</cp:lastPrinted>
  <dcterms:created xsi:type="dcterms:W3CDTF">2023-04-06T04:02:00Z</dcterms:created>
  <dcterms:modified xsi:type="dcterms:W3CDTF">2023-05-08T08:53:00Z</dcterms:modified>
</cp:coreProperties>
</file>